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F6F43CE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48F30E34" w:rsidR="00A160B2" w:rsidRDefault="00A5339D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3 March 2022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3069E648" w14:textId="77777777" w:rsidR="00A160B2" w:rsidRDefault="0075166A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Review of Pension Fund Committee Items</w:t>
            </w:r>
          </w:p>
          <w:p w14:paraId="5914456E" w14:textId="06C0E04F" w:rsidR="00E55F2E" w:rsidRDefault="00E55F2E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5D482966" w14:textId="77777777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3CF266C9" w14:textId="1ACA4866" w:rsidR="00E55F2E" w:rsidRDefault="00E55F2E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74FCEEEF" w14:textId="7A5F4A6F" w:rsidR="00110A2F" w:rsidRPr="00E56213" w:rsidRDefault="00A5339D" w:rsidP="00110A2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6CD568AC" w14:textId="24B98948" w:rsidR="00A160B2" w:rsidRPr="00F37799" w:rsidRDefault="004B5D7B" w:rsidP="006C3150">
            <w:pPr>
              <w:pStyle w:val="Infotext"/>
              <w:rPr>
                <w:bCs/>
              </w:rPr>
            </w:pPr>
            <w:r w:rsidRPr="00F37799">
              <w:rPr>
                <w:bCs/>
              </w:rPr>
              <w:t>Not applicable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58E11CE4" w14:textId="77777777" w:rsidR="00CE4DD2" w:rsidRDefault="00CE4DD2" w:rsidP="006C3150">
            <w:pPr>
              <w:pStyle w:val="Infotext"/>
            </w:pPr>
          </w:p>
          <w:p w14:paraId="23A58528" w14:textId="26D4CB69" w:rsidR="00A160B2" w:rsidRDefault="00933709" w:rsidP="006C3150">
            <w:pPr>
              <w:pStyle w:val="Infotext"/>
            </w:pPr>
            <w:r>
              <w:t xml:space="preserve">Appendix 1 – Pension Fund Valuation at 31 </w:t>
            </w:r>
            <w:r w:rsidR="00A5339D">
              <w:t>December 2021</w:t>
            </w:r>
          </w:p>
          <w:p w14:paraId="4C232B02" w14:textId="68A8B197" w:rsidR="0049221F" w:rsidRDefault="0049221F" w:rsidP="00A5339D">
            <w:pPr>
              <w:pStyle w:val="Infotex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3AE58E1E" w14:textId="5DCDDAA0" w:rsidR="0075166A" w:rsidRPr="008658CB" w:rsidRDefault="0075166A" w:rsidP="0075166A">
            <w:r w:rsidRPr="008658CB">
              <w:t xml:space="preserve">This </w:t>
            </w:r>
            <w:r w:rsidRPr="00A154D4">
              <w:t xml:space="preserve">report </w:t>
            </w:r>
            <w:r>
              <w:t>summarises</w:t>
            </w:r>
            <w:r w:rsidRPr="00A154D4">
              <w:t xml:space="preserve"> the matters </w:t>
            </w:r>
            <w:r w:rsidR="00A5339D">
              <w:t xml:space="preserve">to be </w:t>
            </w:r>
            <w:r w:rsidRPr="00A154D4">
              <w:t xml:space="preserve">considered by the Pension Fund Committee at </w:t>
            </w:r>
            <w:r>
              <w:t xml:space="preserve">its </w:t>
            </w:r>
            <w:r w:rsidR="00A5339D">
              <w:t>next</w:t>
            </w:r>
            <w:r w:rsidRPr="00A154D4">
              <w:t xml:space="preserve"> meeting on </w:t>
            </w:r>
            <w:r w:rsidR="00A5339D">
              <w:t xml:space="preserve">9 March </w:t>
            </w:r>
            <w:r>
              <w:t>202</w:t>
            </w:r>
            <w:r w:rsidR="00A5339D">
              <w:t>2</w:t>
            </w:r>
            <w:r w:rsidR="004B5D7B">
              <w:t xml:space="preserve"> </w:t>
            </w:r>
            <w:r w:rsidRPr="00A154D4">
              <w:t xml:space="preserve">and invites the Board to agree any comments </w:t>
            </w:r>
            <w:r>
              <w:t>they</w:t>
            </w:r>
            <w:r w:rsidRPr="00A154D4">
              <w:t xml:space="preserve"> might wish to make to</w:t>
            </w:r>
            <w:r>
              <w:t xml:space="preserve"> the Pension Fund Committee.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3E883939" w:rsidR="00A160B2" w:rsidRDefault="0075166A" w:rsidP="00A160B2">
            <w:r>
              <w:t xml:space="preserve">The </w:t>
            </w:r>
            <w:r>
              <w:rPr>
                <w:rFonts w:cs="Arial"/>
                <w:szCs w:val="24"/>
              </w:rPr>
              <w:t>Board</w:t>
            </w:r>
            <w:r w:rsidRPr="0076456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is requested to note the report and comment as necessary</w:t>
            </w:r>
            <w:r w:rsidR="00A360D6" w:rsidRPr="002D3381">
              <w:rPr>
                <w:szCs w:val="24"/>
              </w:rPr>
              <w:t>.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02AFEE99" w14:textId="42014087" w:rsidR="0075166A" w:rsidRPr="0075166A" w:rsidRDefault="0075166A" w:rsidP="0075166A">
      <w:pPr>
        <w:numPr>
          <w:ilvl w:val="0"/>
          <w:numId w:val="16"/>
        </w:numPr>
        <w:jc w:val="both"/>
      </w:pPr>
      <w:r>
        <w:t xml:space="preserve">The list of items </w:t>
      </w:r>
      <w:r w:rsidR="00A5339D">
        <w:t xml:space="preserve">to be </w:t>
      </w:r>
      <w:r>
        <w:t xml:space="preserve">considered </w:t>
      </w:r>
      <w:r w:rsidRPr="0075166A">
        <w:rPr>
          <w:bCs/>
          <w:szCs w:val="24"/>
        </w:rPr>
        <w:t xml:space="preserve">by the Pension Fund Committee at its meeting on </w:t>
      </w:r>
      <w:r w:rsidR="00A5339D">
        <w:rPr>
          <w:bCs/>
          <w:szCs w:val="24"/>
        </w:rPr>
        <w:t xml:space="preserve">9 March 2022 </w:t>
      </w:r>
      <w:r>
        <w:rPr>
          <w:bCs/>
          <w:szCs w:val="24"/>
        </w:rPr>
        <w:t>is</w:t>
      </w:r>
      <w:r w:rsidRPr="0075166A">
        <w:rPr>
          <w:bCs/>
          <w:szCs w:val="24"/>
        </w:rPr>
        <w:t xml:space="preserve"> summarised in the table below.</w:t>
      </w:r>
    </w:p>
    <w:p w14:paraId="32610839" w14:textId="77777777" w:rsidR="0075166A" w:rsidRDefault="0075166A" w:rsidP="0075166A">
      <w:pPr>
        <w:ind w:left="720"/>
        <w:rPr>
          <w:bCs/>
          <w:szCs w:val="24"/>
        </w:rPr>
      </w:pPr>
    </w:p>
    <w:p w14:paraId="4F8545BB" w14:textId="77777777" w:rsidR="0075166A" w:rsidRDefault="0075166A" w:rsidP="0075166A">
      <w:pPr>
        <w:ind w:left="720"/>
        <w:rPr>
          <w:bCs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18"/>
      </w:tblGrid>
      <w:tr w:rsidR="0075166A" w14:paraId="41499451" w14:textId="77777777" w:rsidTr="00FC33FC">
        <w:tc>
          <w:tcPr>
            <w:tcW w:w="2961" w:type="dxa"/>
          </w:tcPr>
          <w:p w14:paraId="46D0EB4E" w14:textId="77777777" w:rsidR="0075166A" w:rsidRPr="005A6D20" w:rsidRDefault="0075166A" w:rsidP="00FC33FC">
            <w:pPr>
              <w:rPr>
                <w:b/>
                <w:szCs w:val="24"/>
              </w:rPr>
            </w:pPr>
            <w:r w:rsidRPr="005A6D20">
              <w:rPr>
                <w:b/>
                <w:szCs w:val="24"/>
              </w:rPr>
              <w:t>Report</w:t>
            </w:r>
          </w:p>
        </w:tc>
        <w:tc>
          <w:tcPr>
            <w:tcW w:w="4618" w:type="dxa"/>
          </w:tcPr>
          <w:p w14:paraId="57DFD70B" w14:textId="77777777" w:rsidR="0075166A" w:rsidRPr="005A6D20" w:rsidRDefault="0075166A" w:rsidP="00FC33FC">
            <w:pPr>
              <w:rPr>
                <w:b/>
                <w:szCs w:val="24"/>
              </w:rPr>
            </w:pPr>
            <w:r w:rsidRPr="005A6D20">
              <w:rPr>
                <w:b/>
                <w:szCs w:val="24"/>
              </w:rPr>
              <w:t>Comments</w:t>
            </w:r>
          </w:p>
        </w:tc>
      </w:tr>
      <w:tr w:rsidR="0075166A" w14:paraId="25073024" w14:textId="77777777" w:rsidTr="00FC33FC">
        <w:tc>
          <w:tcPr>
            <w:tcW w:w="2961" w:type="dxa"/>
          </w:tcPr>
          <w:p w14:paraId="3ECBC0AA" w14:textId="77777777" w:rsidR="0075166A" w:rsidRPr="002E7D60" w:rsidRDefault="0075166A" w:rsidP="00FC33FC">
            <w:pPr>
              <w:rPr>
                <w:b/>
                <w:szCs w:val="24"/>
              </w:rPr>
            </w:pPr>
            <w:r w:rsidRPr="002E7D60">
              <w:rPr>
                <w:b/>
                <w:szCs w:val="24"/>
              </w:rPr>
              <w:t>Part I</w:t>
            </w:r>
          </w:p>
        </w:tc>
        <w:tc>
          <w:tcPr>
            <w:tcW w:w="4618" w:type="dxa"/>
          </w:tcPr>
          <w:p w14:paraId="29AB2069" w14:textId="77777777" w:rsidR="0075166A" w:rsidRDefault="0075166A" w:rsidP="00FC33FC">
            <w:pPr>
              <w:rPr>
                <w:bCs/>
                <w:szCs w:val="24"/>
              </w:rPr>
            </w:pPr>
          </w:p>
        </w:tc>
      </w:tr>
      <w:tr w:rsidR="0075166A" w14:paraId="2F2A8C66" w14:textId="77777777" w:rsidTr="00FC33FC">
        <w:tc>
          <w:tcPr>
            <w:tcW w:w="2961" w:type="dxa"/>
          </w:tcPr>
          <w:p w14:paraId="0ECD9CAD" w14:textId="27F3BA24" w:rsidR="0075166A" w:rsidRDefault="00777E2D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Appointment of Independent Advisors</w:t>
            </w:r>
          </w:p>
          <w:p w14:paraId="010061AF" w14:textId="77777777" w:rsidR="0075166A" w:rsidRDefault="0075166A" w:rsidP="00FC33FC">
            <w:pPr>
              <w:rPr>
                <w:bCs/>
                <w:szCs w:val="24"/>
              </w:rPr>
            </w:pPr>
          </w:p>
        </w:tc>
        <w:tc>
          <w:tcPr>
            <w:tcW w:w="4618" w:type="dxa"/>
          </w:tcPr>
          <w:p w14:paraId="6EF103C5" w14:textId="12244CAF" w:rsidR="00A644A0" w:rsidRDefault="00A5339D" w:rsidP="00A5339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To report the outcome of the recruitment and appointment process. </w:t>
            </w:r>
          </w:p>
        </w:tc>
      </w:tr>
      <w:tr w:rsidR="0075166A" w14:paraId="16044C78" w14:textId="77777777" w:rsidTr="00FC33FC">
        <w:tc>
          <w:tcPr>
            <w:tcW w:w="2961" w:type="dxa"/>
          </w:tcPr>
          <w:p w14:paraId="360DDD1A" w14:textId="77777777" w:rsidR="0075166A" w:rsidRDefault="0075166A" w:rsidP="00FC33FC">
            <w:pPr>
              <w:rPr>
                <w:bCs/>
                <w:szCs w:val="24"/>
              </w:rPr>
            </w:pPr>
            <w:r>
              <w:lastRenderedPageBreak/>
              <w:t>Performance Dashboard and Update on Regular items</w:t>
            </w:r>
          </w:p>
        </w:tc>
        <w:tc>
          <w:tcPr>
            <w:tcW w:w="4618" w:type="dxa"/>
          </w:tcPr>
          <w:p w14:paraId="79AA2BAF" w14:textId="119E4B2D" w:rsidR="0075166A" w:rsidRDefault="004B5D7B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The Committee</w:t>
            </w:r>
            <w:r w:rsidR="00A5339D">
              <w:rPr>
                <w:bCs/>
                <w:szCs w:val="24"/>
              </w:rPr>
              <w:t xml:space="preserve"> will</w:t>
            </w:r>
            <w:r>
              <w:rPr>
                <w:bCs/>
                <w:szCs w:val="24"/>
              </w:rPr>
              <w:t xml:space="preserve"> consider the</w:t>
            </w:r>
            <w:r w:rsidR="0075166A">
              <w:rPr>
                <w:bCs/>
                <w:szCs w:val="24"/>
              </w:rPr>
              <w:t xml:space="preserve"> report</w:t>
            </w:r>
            <w:r>
              <w:rPr>
                <w:bCs/>
                <w:szCs w:val="24"/>
              </w:rPr>
              <w:t xml:space="preserve">, which </w:t>
            </w:r>
            <w:r w:rsidR="0075166A">
              <w:rPr>
                <w:bCs/>
                <w:szCs w:val="24"/>
              </w:rPr>
              <w:t>summarise</w:t>
            </w:r>
            <w:r>
              <w:rPr>
                <w:bCs/>
                <w:szCs w:val="24"/>
              </w:rPr>
              <w:t>d</w:t>
            </w:r>
            <w:r w:rsidR="0075166A">
              <w:rPr>
                <w:bCs/>
                <w:szCs w:val="24"/>
              </w:rPr>
              <w:t xml:space="preserve"> the position of the Fund at </w:t>
            </w:r>
            <w:r w:rsidR="00F1403C">
              <w:rPr>
                <w:bCs/>
                <w:szCs w:val="24"/>
              </w:rPr>
              <w:t>the end of Q</w:t>
            </w:r>
            <w:r w:rsidR="00A5339D">
              <w:rPr>
                <w:bCs/>
                <w:szCs w:val="24"/>
              </w:rPr>
              <w:t>4</w:t>
            </w:r>
            <w:r w:rsidR="00F1403C">
              <w:rPr>
                <w:bCs/>
                <w:szCs w:val="24"/>
              </w:rPr>
              <w:t xml:space="preserve"> 202</w:t>
            </w:r>
            <w:r w:rsidR="002A5BDC">
              <w:rPr>
                <w:bCs/>
                <w:szCs w:val="24"/>
              </w:rPr>
              <w:t>1</w:t>
            </w:r>
            <w:r w:rsidR="00F1403C">
              <w:rPr>
                <w:bCs/>
                <w:szCs w:val="24"/>
              </w:rPr>
              <w:t xml:space="preserve"> (</w:t>
            </w:r>
            <w:r w:rsidR="002A5BDC">
              <w:rPr>
                <w:bCs/>
                <w:szCs w:val="24"/>
              </w:rPr>
              <w:t>3</w:t>
            </w:r>
            <w:r w:rsidR="00A5339D">
              <w:rPr>
                <w:bCs/>
                <w:szCs w:val="24"/>
              </w:rPr>
              <w:t>1</w:t>
            </w:r>
            <w:r w:rsidR="002A5BDC">
              <w:rPr>
                <w:bCs/>
                <w:szCs w:val="24"/>
              </w:rPr>
              <w:t xml:space="preserve"> </w:t>
            </w:r>
            <w:r w:rsidR="00A5339D">
              <w:rPr>
                <w:bCs/>
                <w:szCs w:val="24"/>
              </w:rPr>
              <w:t>Dec</w:t>
            </w:r>
            <w:r w:rsidR="00777E2D">
              <w:rPr>
                <w:bCs/>
                <w:szCs w:val="24"/>
              </w:rPr>
              <w:t xml:space="preserve">ember </w:t>
            </w:r>
            <w:r w:rsidR="002A5BDC">
              <w:rPr>
                <w:bCs/>
                <w:szCs w:val="24"/>
              </w:rPr>
              <w:t>2021</w:t>
            </w:r>
            <w:r w:rsidR="00F1403C">
              <w:rPr>
                <w:bCs/>
                <w:szCs w:val="24"/>
              </w:rPr>
              <w:t xml:space="preserve">) </w:t>
            </w:r>
            <w:r w:rsidR="0075166A">
              <w:rPr>
                <w:bCs/>
                <w:szCs w:val="24"/>
              </w:rPr>
              <w:t xml:space="preserve">and </w:t>
            </w:r>
            <w:r>
              <w:rPr>
                <w:bCs/>
                <w:szCs w:val="24"/>
              </w:rPr>
              <w:t xml:space="preserve">agreed a draft </w:t>
            </w:r>
            <w:r w:rsidR="0075166A">
              <w:rPr>
                <w:bCs/>
                <w:szCs w:val="24"/>
              </w:rPr>
              <w:t>work programme for the Committee for the 202</w:t>
            </w:r>
            <w:r w:rsidR="00A5339D">
              <w:rPr>
                <w:bCs/>
                <w:szCs w:val="24"/>
              </w:rPr>
              <w:t>2-23</w:t>
            </w:r>
            <w:r w:rsidR="00F1403C">
              <w:rPr>
                <w:bCs/>
                <w:szCs w:val="24"/>
              </w:rPr>
              <w:t xml:space="preserve"> municipal </w:t>
            </w:r>
            <w:r w:rsidR="00777E2D">
              <w:rPr>
                <w:bCs/>
                <w:szCs w:val="24"/>
              </w:rPr>
              <w:t>year.</w:t>
            </w:r>
            <w:r w:rsidR="0075166A">
              <w:rPr>
                <w:bCs/>
                <w:szCs w:val="24"/>
              </w:rPr>
              <w:t xml:space="preserve"> </w:t>
            </w:r>
          </w:p>
          <w:p w14:paraId="072448AA" w14:textId="77777777" w:rsidR="0075166A" w:rsidRDefault="0075166A" w:rsidP="004B5D7B">
            <w:pPr>
              <w:rPr>
                <w:bCs/>
                <w:szCs w:val="24"/>
              </w:rPr>
            </w:pPr>
          </w:p>
        </w:tc>
      </w:tr>
      <w:tr w:rsidR="001F6722" w14:paraId="6250D94D" w14:textId="77777777" w:rsidTr="00D365CC">
        <w:tc>
          <w:tcPr>
            <w:tcW w:w="2961" w:type="dxa"/>
          </w:tcPr>
          <w:p w14:paraId="7553BE51" w14:textId="1CB7094F" w:rsidR="001F6722" w:rsidRDefault="00A5339D" w:rsidP="00FC33FC">
            <w:r>
              <w:t xml:space="preserve">Review and Approval of Fund Policies </w:t>
            </w:r>
            <w:r w:rsidR="002A5BDC">
              <w:t xml:space="preserve"> </w:t>
            </w:r>
          </w:p>
        </w:tc>
        <w:tc>
          <w:tcPr>
            <w:tcW w:w="4618" w:type="dxa"/>
            <w:shd w:val="clear" w:color="auto" w:fill="auto"/>
          </w:tcPr>
          <w:p w14:paraId="3CC2C4B5" w14:textId="632265B5" w:rsidR="001F6722" w:rsidRDefault="00A5339D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consider and approve four Fund Policies.</w:t>
            </w:r>
          </w:p>
          <w:p w14:paraId="7080CB8F" w14:textId="3635BDD5" w:rsidR="00A5339D" w:rsidRPr="009F30CC" w:rsidRDefault="00A5339D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Two were considered at the Board’s last meeting and comments incorporated </w:t>
            </w:r>
            <w:r w:rsidRPr="009F30CC">
              <w:rPr>
                <w:bCs/>
                <w:szCs w:val="24"/>
              </w:rPr>
              <w:t>accordingly</w:t>
            </w:r>
          </w:p>
          <w:p w14:paraId="46C07543" w14:textId="2FD53AC5" w:rsidR="00A5339D" w:rsidRPr="009F30CC" w:rsidRDefault="00A5339D" w:rsidP="00A5339D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9F30CC">
              <w:rPr>
                <w:bCs/>
                <w:sz w:val="24"/>
                <w:szCs w:val="24"/>
              </w:rPr>
              <w:t>Breaches Policy</w:t>
            </w:r>
          </w:p>
          <w:p w14:paraId="223C6857" w14:textId="27977C1B" w:rsidR="00A5339D" w:rsidRPr="009F30CC" w:rsidRDefault="009F30CC" w:rsidP="00A5339D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9F30CC">
              <w:rPr>
                <w:bCs/>
                <w:sz w:val="24"/>
                <w:szCs w:val="24"/>
              </w:rPr>
              <w:t>Conflicts</w:t>
            </w:r>
            <w:r w:rsidR="00A5339D" w:rsidRPr="009F30CC">
              <w:rPr>
                <w:bCs/>
                <w:sz w:val="24"/>
                <w:szCs w:val="24"/>
              </w:rPr>
              <w:t xml:space="preserve"> of Interest Policy</w:t>
            </w:r>
          </w:p>
          <w:p w14:paraId="6869C505" w14:textId="576A24C8" w:rsidR="00A5339D" w:rsidRPr="009F30CC" w:rsidRDefault="00A5339D" w:rsidP="00A5339D">
            <w:pPr>
              <w:ind w:left="70"/>
              <w:rPr>
                <w:bCs/>
                <w:szCs w:val="24"/>
              </w:rPr>
            </w:pPr>
            <w:r w:rsidRPr="009F30CC">
              <w:rPr>
                <w:bCs/>
                <w:szCs w:val="24"/>
              </w:rPr>
              <w:t xml:space="preserve">The other two are </w:t>
            </w:r>
            <w:r w:rsidR="009F30CC">
              <w:rPr>
                <w:bCs/>
                <w:szCs w:val="24"/>
              </w:rPr>
              <w:t xml:space="preserve">elsewhere on the agenda for </w:t>
            </w:r>
            <w:r w:rsidRPr="009F30CC">
              <w:rPr>
                <w:bCs/>
                <w:szCs w:val="24"/>
              </w:rPr>
              <w:t>this meeting of the Board, and any comments will be sent to the Committee as late material.</w:t>
            </w:r>
          </w:p>
          <w:p w14:paraId="73A7E079" w14:textId="548CB84A" w:rsidR="00A5339D" w:rsidRPr="009F30CC" w:rsidRDefault="00A5339D" w:rsidP="00A5339D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9F30CC">
              <w:rPr>
                <w:bCs/>
                <w:sz w:val="24"/>
                <w:szCs w:val="24"/>
              </w:rPr>
              <w:t>Pension Fund Administration Strategy</w:t>
            </w:r>
          </w:p>
          <w:p w14:paraId="3C1CA89D" w14:textId="5900413F" w:rsidR="00A5339D" w:rsidRPr="009F30CC" w:rsidRDefault="00A5339D" w:rsidP="00A5339D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9F30CC">
              <w:rPr>
                <w:bCs/>
                <w:sz w:val="24"/>
                <w:szCs w:val="24"/>
              </w:rPr>
              <w:t xml:space="preserve">Training Policy </w:t>
            </w:r>
          </w:p>
          <w:p w14:paraId="28B9286E" w14:textId="6754D6D6" w:rsidR="00540AA5" w:rsidRPr="00A644A0" w:rsidRDefault="00540AA5" w:rsidP="00FC33FC">
            <w:pPr>
              <w:rPr>
                <w:bCs/>
                <w:szCs w:val="24"/>
              </w:rPr>
            </w:pPr>
          </w:p>
        </w:tc>
      </w:tr>
      <w:tr w:rsidR="006E25E2" w14:paraId="5DA67D9F" w14:textId="77777777" w:rsidTr="00D365CC">
        <w:tc>
          <w:tcPr>
            <w:tcW w:w="2961" w:type="dxa"/>
          </w:tcPr>
          <w:p w14:paraId="1CE53AE5" w14:textId="77777777" w:rsidR="006E25E2" w:rsidRDefault="006E25E2" w:rsidP="00FC33FC">
            <w:r>
              <w:t>External Audit Plan for 20</w:t>
            </w:r>
            <w:r w:rsidR="00BA423E">
              <w:t>21-22 Audit of Annual Report and Accounts</w:t>
            </w:r>
          </w:p>
          <w:p w14:paraId="488218B8" w14:textId="61EEB010" w:rsidR="00BA423E" w:rsidRDefault="00BA423E" w:rsidP="00FC33FC"/>
        </w:tc>
        <w:tc>
          <w:tcPr>
            <w:tcW w:w="4618" w:type="dxa"/>
            <w:shd w:val="clear" w:color="auto" w:fill="auto"/>
          </w:tcPr>
          <w:p w14:paraId="41FB382A" w14:textId="1EDA276A" w:rsidR="006E25E2" w:rsidRDefault="00BA423E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If available from Mazars, the audit plan will be considered and commented upon by the Committee. </w:t>
            </w:r>
          </w:p>
        </w:tc>
      </w:tr>
      <w:tr w:rsidR="00BA423E" w14:paraId="22F4EAA7" w14:textId="77777777" w:rsidTr="00D365CC">
        <w:tc>
          <w:tcPr>
            <w:tcW w:w="2961" w:type="dxa"/>
          </w:tcPr>
          <w:p w14:paraId="7D3DA046" w14:textId="66C235A4" w:rsidR="00BA423E" w:rsidRDefault="00BA423E" w:rsidP="00FC33FC">
            <w:r>
              <w:t>Review of Pension Fund Risk Register</w:t>
            </w:r>
          </w:p>
        </w:tc>
        <w:tc>
          <w:tcPr>
            <w:tcW w:w="4618" w:type="dxa"/>
            <w:shd w:val="clear" w:color="auto" w:fill="auto"/>
          </w:tcPr>
          <w:p w14:paraId="403A9863" w14:textId="0AD83C67" w:rsidR="00BA423E" w:rsidRDefault="00BA423E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To consider and comment upon the latest review of the Register </w:t>
            </w:r>
          </w:p>
        </w:tc>
      </w:tr>
      <w:tr w:rsidR="002A5BDC" w14:paraId="356D1E0D" w14:textId="77777777" w:rsidTr="00FC33FC">
        <w:tc>
          <w:tcPr>
            <w:tcW w:w="2961" w:type="dxa"/>
          </w:tcPr>
          <w:p w14:paraId="3DF65F9A" w14:textId="77777777" w:rsidR="002A5BDC" w:rsidRPr="002E7D60" w:rsidRDefault="002A5BDC" w:rsidP="002A5BDC">
            <w:pPr>
              <w:rPr>
                <w:b/>
                <w:szCs w:val="24"/>
              </w:rPr>
            </w:pPr>
            <w:r w:rsidRPr="002E7D60">
              <w:rPr>
                <w:b/>
                <w:szCs w:val="24"/>
              </w:rPr>
              <w:t>Part II</w:t>
            </w:r>
          </w:p>
        </w:tc>
        <w:tc>
          <w:tcPr>
            <w:tcW w:w="4618" w:type="dxa"/>
          </w:tcPr>
          <w:p w14:paraId="2FBE5FC7" w14:textId="77777777" w:rsidR="002A5BDC" w:rsidRDefault="002A5BDC" w:rsidP="002A5BDC">
            <w:pPr>
              <w:rPr>
                <w:bCs/>
                <w:szCs w:val="24"/>
              </w:rPr>
            </w:pPr>
          </w:p>
        </w:tc>
      </w:tr>
      <w:tr w:rsidR="00A5339D" w14:paraId="01F6745A" w14:textId="77777777" w:rsidTr="00FC33FC">
        <w:tc>
          <w:tcPr>
            <w:tcW w:w="2961" w:type="dxa"/>
          </w:tcPr>
          <w:p w14:paraId="1BEDFB8C" w14:textId="77777777" w:rsidR="00A5339D" w:rsidRDefault="00BD02E1" w:rsidP="002A5BD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2022 Triennial Valuation – Review of Assumptions</w:t>
            </w:r>
          </w:p>
          <w:p w14:paraId="4F7A3421" w14:textId="2585DFF8" w:rsidR="00BD02E1" w:rsidRDefault="00BD02E1" w:rsidP="002A5BDC">
            <w:pPr>
              <w:rPr>
                <w:bCs/>
                <w:szCs w:val="24"/>
              </w:rPr>
            </w:pPr>
          </w:p>
        </w:tc>
        <w:tc>
          <w:tcPr>
            <w:tcW w:w="4618" w:type="dxa"/>
          </w:tcPr>
          <w:p w14:paraId="365F028C" w14:textId="4B3C25E5" w:rsidR="00A5339D" w:rsidRDefault="00BD02E1" w:rsidP="002A5BDC">
            <w:pPr>
              <w:rPr>
                <w:szCs w:val="24"/>
              </w:rPr>
            </w:pPr>
            <w:r>
              <w:rPr>
                <w:szCs w:val="24"/>
              </w:rPr>
              <w:t>The Fund’s Actuary – Laura McInroy of Hymans Robertson – will present to the Committee on the approach and assumptions to be used in the valuation.</w:t>
            </w:r>
          </w:p>
          <w:p w14:paraId="5D8696EF" w14:textId="65487758" w:rsidR="00BD02E1" w:rsidRDefault="00BD02E1" w:rsidP="002A5BDC">
            <w:pPr>
              <w:rPr>
                <w:szCs w:val="24"/>
              </w:rPr>
            </w:pPr>
            <w:r>
              <w:rPr>
                <w:szCs w:val="24"/>
              </w:rPr>
              <w:t>The report will be in part 2 as Hymans Robertson regard the valuation methodology as being their intellectual / commercial property.</w:t>
            </w:r>
          </w:p>
          <w:p w14:paraId="1E2EBC31" w14:textId="7DD3833F" w:rsidR="00BD02E1" w:rsidRDefault="00BD02E1" w:rsidP="002A5BDC">
            <w:pPr>
              <w:rPr>
                <w:szCs w:val="24"/>
              </w:rPr>
            </w:pPr>
          </w:p>
        </w:tc>
      </w:tr>
      <w:tr w:rsidR="00A644A0" w14:paraId="1199F105" w14:textId="77777777" w:rsidTr="00FC33FC">
        <w:tc>
          <w:tcPr>
            <w:tcW w:w="2961" w:type="dxa"/>
          </w:tcPr>
          <w:p w14:paraId="2FD39F7E" w14:textId="213FE066" w:rsidR="00A644A0" w:rsidRDefault="00A5339D" w:rsidP="002A5BD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Review of Emerging Market Equities </w:t>
            </w:r>
          </w:p>
        </w:tc>
        <w:tc>
          <w:tcPr>
            <w:tcW w:w="4618" w:type="dxa"/>
          </w:tcPr>
          <w:p w14:paraId="5BAD0895" w14:textId="1670EBD5" w:rsidR="00BD02E1" w:rsidRDefault="00A644A0" w:rsidP="002A5BDC">
            <w:pPr>
              <w:rPr>
                <w:szCs w:val="24"/>
              </w:rPr>
            </w:pPr>
            <w:r>
              <w:rPr>
                <w:szCs w:val="24"/>
              </w:rPr>
              <w:t>Following the Manager Day</w:t>
            </w:r>
            <w:r w:rsidR="00A5339D">
              <w:rPr>
                <w:szCs w:val="24"/>
              </w:rPr>
              <w:t xml:space="preserve"> held in October 2022, </w:t>
            </w:r>
            <w:r w:rsidR="00BD02E1">
              <w:rPr>
                <w:szCs w:val="24"/>
              </w:rPr>
              <w:t xml:space="preserve">with the help of its Investment Consultants (Aon) and its Independent Advisors, </w:t>
            </w:r>
            <w:r>
              <w:rPr>
                <w:szCs w:val="24"/>
              </w:rPr>
              <w:t>the Committee ha</w:t>
            </w:r>
            <w:r w:rsidR="00BD02E1">
              <w:rPr>
                <w:szCs w:val="24"/>
              </w:rPr>
              <w:t>s undertaken a review of its emerging market equities.</w:t>
            </w:r>
          </w:p>
          <w:p w14:paraId="43EF0F39" w14:textId="208D5567" w:rsidR="00BD02E1" w:rsidRDefault="00BD02E1" w:rsidP="00BD02E1">
            <w:pPr>
              <w:rPr>
                <w:szCs w:val="24"/>
              </w:rPr>
            </w:pPr>
            <w:r>
              <w:rPr>
                <w:szCs w:val="24"/>
              </w:rPr>
              <w:t>The report will set out a recommendation and next steps.</w:t>
            </w:r>
          </w:p>
          <w:p w14:paraId="649A6177" w14:textId="4527D659" w:rsidR="009824C9" w:rsidRDefault="009824C9" w:rsidP="002A5BDC">
            <w:pPr>
              <w:rPr>
                <w:szCs w:val="24"/>
              </w:rPr>
            </w:pPr>
          </w:p>
        </w:tc>
      </w:tr>
    </w:tbl>
    <w:p w14:paraId="383BD210" w14:textId="77777777" w:rsidR="0075166A" w:rsidRDefault="0075166A" w:rsidP="0075166A">
      <w:pPr>
        <w:ind w:left="720"/>
        <w:jc w:val="both"/>
      </w:pPr>
    </w:p>
    <w:p w14:paraId="1E24A2F9" w14:textId="7E8CFD66" w:rsidR="00BD02E1" w:rsidRDefault="00BD02E1" w:rsidP="00BD02E1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At the time of writing this report, Aon’s Investment dashboard as at 31 December 2021 was not available. </w:t>
      </w:r>
    </w:p>
    <w:p w14:paraId="01E2352F" w14:textId="77777777" w:rsidR="00BD02E1" w:rsidRDefault="00BD02E1" w:rsidP="00BD02E1">
      <w:pPr>
        <w:ind w:left="720"/>
        <w:jc w:val="both"/>
        <w:rPr>
          <w:szCs w:val="24"/>
        </w:rPr>
      </w:pPr>
    </w:p>
    <w:p w14:paraId="47BFB0B9" w14:textId="39C28737" w:rsidR="003315E4" w:rsidRPr="00BD02E1" w:rsidRDefault="00BD02E1" w:rsidP="003C3462">
      <w:pPr>
        <w:numPr>
          <w:ilvl w:val="0"/>
          <w:numId w:val="16"/>
        </w:numPr>
        <w:jc w:val="both"/>
        <w:rPr>
          <w:szCs w:val="24"/>
        </w:rPr>
      </w:pPr>
      <w:r w:rsidRPr="00BD02E1">
        <w:rPr>
          <w:szCs w:val="24"/>
        </w:rPr>
        <w:lastRenderedPageBreak/>
        <w:t>T</w:t>
      </w:r>
      <w:r w:rsidR="00260000" w:rsidRPr="00BD02E1">
        <w:rPr>
          <w:szCs w:val="24"/>
        </w:rPr>
        <w:t>h</w:t>
      </w:r>
      <w:r w:rsidR="003315E4" w:rsidRPr="00BD02E1">
        <w:rPr>
          <w:szCs w:val="24"/>
        </w:rPr>
        <w:t xml:space="preserve">e Pension Fund’s </w:t>
      </w:r>
      <w:r w:rsidR="00260000" w:rsidRPr="00BD02E1">
        <w:rPr>
          <w:szCs w:val="24"/>
        </w:rPr>
        <w:t>investments were valued at</w:t>
      </w:r>
      <w:r w:rsidRPr="00BD02E1">
        <w:rPr>
          <w:szCs w:val="24"/>
        </w:rPr>
        <w:t xml:space="preserve"> £1,057m at 31 December 2021. </w:t>
      </w:r>
      <w:r>
        <w:rPr>
          <w:szCs w:val="24"/>
        </w:rPr>
        <w:t xml:space="preserve">The details are </w:t>
      </w:r>
      <w:r w:rsidR="003315E4" w:rsidRPr="00BD02E1">
        <w:rPr>
          <w:szCs w:val="24"/>
        </w:rPr>
        <w:t xml:space="preserve">shown at appendix </w:t>
      </w:r>
      <w:r w:rsidR="00CB4353" w:rsidRPr="00BD02E1">
        <w:rPr>
          <w:szCs w:val="24"/>
        </w:rPr>
        <w:t>1</w:t>
      </w:r>
      <w:r>
        <w:rPr>
          <w:szCs w:val="24"/>
        </w:rPr>
        <w:t xml:space="preserve">. As previously reported, </w:t>
      </w:r>
      <w:r w:rsidR="00260000" w:rsidRPr="00BD02E1">
        <w:rPr>
          <w:szCs w:val="24"/>
        </w:rPr>
        <w:t>the planned changes to the Fund’s Fixed Income portfolio have been completed</w:t>
      </w:r>
      <w:r>
        <w:rPr>
          <w:szCs w:val="24"/>
        </w:rPr>
        <w:t xml:space="preserve">. There </w:t>
      </w:r>
      <w:r w:rsidR="00260000" w:rsidRPr="00BD02E1">
        <w:rPr>
          <w:szCs w:val="24"/>
        </w:rPr>
        <w:t>have been further drawdowns to both the LCIV Infrastructure Fund and the LCIV Renewables Infrastructure Fund</w:t>
      </w:r>
      <w:r>
        <w:rPr>
          <w:szCs w:val="24"/>
        </w:rPr>
        <w:t xml:space="preserve"> in January and February 2022. </w:t>
      </w:r>
      <w:r w:rsidR="00260000" w:rsidRPr="00BD02E1">
        <w:rPr>
          <w:szCs w:val="24"/>
        </w:rPr>
        <w:t xml:space="preserve">At 31 </w:t>
      </w:r>
      <w:r>
        <w:rPr>
          <w:szCs w:val="24"/>
        </w:rPr>
        <w:t>Decem</w:t>
      </w:r>
      <w:r w:rsidR="00260000" w:rsidRPr="00BD02E1">
        <w:rPr>
          <w:szCs w:val="24"/>
        </w:rPr>
        <w:t>ber 2021, 68.</w:t>
      </w:r>
      <w:r>
        <w:rPr>
          <w:szCs w:val="24"/>
        </w:rPr>
        <w:t>9</w:t>
      </w:r>
      <w:r w:rsidR="00260000" w:rsidRPr="00BD02E1">
        <w:rPr>
          <w:szCs w:val="24"/>
        </w:rPr>
        <w:t>% of the Fund’s investments were pooled or in passive investments which are regarded as being pooled.</w:t>
      </w:r>
      <w:r w:rsidR="0059168C" w:rsidRPr="00BD02E1">
        <w:rPr>
          <w:szCs w:val="24"/>
        </w:rPr>
        <w:t xml:space="preserve"> </w:t>
      </w:r>
    </w:p>
    <w:p w14:paraId="03D66B6A" w14:textId="3A3A33BC" w:rsidR="00933709" w:rsidRPr="00110A2F" w:rsidRDefault="00933709" w:rsidP="00110A2F">
      <w:pPr>
        <w:jc w:val="both"/>
        <w:rPr>
          <w:szCs w:val="24"/>
        </w:rPr>
      </w:pPr>
    </w:p>
    <w:p w14:paraId="382D260B" w14:textId="1E11EDB1" w:rsidR="006B5B52" w:rsidRDefault="00BD02E1" w:rsidP="00D92AA1">
      <w:pPr>
        <w:numPr>
          <w:ilvl w:val="0"/>
          <w:numId w:val="16"/>
        </w:numPr>
        <w:jc w:val="both"/>
      </w:pPr>
      <w:r>
        <w:rPr>
          <w:szCs w:val="24"/>
        </w:rPr>
        <w:t xml:space="preserve">As indicated above, the final </w:t>
      </w:r>
      <w:r w:rsidR="00260000" w:rsidRPr="00260000">
        <w:rPr>
          <w:szCs w:val="24"/>
        </w:rPr>
        <w:t xml:space="preserve">meeting </w:t>
      </w:r>
      <w:r w:rsidR="006B5B52" w:rsidRPr="00260000">
        <w:rPr>
          <w:szCs w:val="24"/>
        </w:rPr>
        <w:t xml:space="preserve">of the Pension Fund Committee </w:t>
      </w:r>
      <w:r w:rsidR="00260000" w:rsidRPr="00260000">
        <w:rPr>
          <w:szCs w:val="24"/>
        </w:rPr>
        <w:t>in</w:t>
      </w:r>
      <w:r w:rsidR="00933709" w:rsidRPr="00260000">
        <w:rPr>
          <w:szCs w:val="24"/>
        </w:rPr>
        <w:t xml:space="preserve"> </w:t>
      </w:r>
      <w:r w:rsidR="00260000" w:rsidRPr="00260000">
        <w:rPr>
          <w:szCs w:val="24"/>
        </w:rPr>
        <w:t xml:space="preserve">the </w:t>
      </w:r>
      <w:r w:rsidR="00933709" w:rsidRPr="00260000">
        <w:rPr>
          <w:szCs w:val="24"/>
        </w:rPr>
        <w:t xml:space="preserve">2021-22 municipal year </w:t>
      </w:r>
      <w:r w:rsidR="00260000" w:rsidRPr="00260000">
        <w:rPr>
          <w:szCs w:val="24"/>
        </w:rPr>
        <w:t>is scheduled to take</w:t>
      </w:r>
      <w:r w:rsidR="00260000">
        <w:rPr>
          <w:szCs w:val="24"/>
        </w:rPr>
        <w:t xml:space="preserve"> </w:t>
      </w:r>
      <w:r w:rsidR="00260000" w:rsidRPr="00260000">
        <w:rPr>
          <w:szCs w:val="24"/>
        </w:rPr>
        <w:t xml:space="preserve">place on </w:t>
      </w:r>
      <w:r w:rsidR="006B5B52" w:rsidRPr="00260000">
        <w:rPr>
          <w:szCs w:val="24"/>
        </w:rPr>
        <w:t>Wednesday 9</w:t>
      </w:r>
      <w:r w:rsidR="006B5B52" w:rsidRPr="00260000">
        <w:rPr>
          <w:szCs w:val="24"/>
          <w:vertAlign w:val="superscript"/>
        </w:rPr>
        <w:t>th</w:t>
      </w:r>
      <w:r w:rsidR="006B5B52" w:rsidRPr="00260000">
        <w:rPr>
          <w:szCs w:val="24"/>
        </w:rPr>
        <w:t xml:space="preserve"> March 2022</w:t>
      </w:r>
      <w:r w:rsidR="00260000" w:rsidRPr="00260000">
        <w:rPr>
          <w:szCs w:val="24"/>
        </w:rPr>
        <w:t xml:space="preserve">. </w:t>
      </w:r>
      <w:r w:rsidR="00260000">
        <w:rPr>
          <w:szCs w:val="24"/>
        </w:rPr>
        <w:t>T</w:t>
      </w:r>
      <w:r w:rsidR="006B5B52">
        <w:t xml:space="preserve">he meetings </w:t>
      </w:r>
      <w:r w:rsidR="00260000">
        <w:t>is</w:t>
      </w:r>
      <w:r w:rsidR="006B5B52">
        <w:t xml:space="preserve"> scheduled to start at 6.30pm.  </w:t>
      </w:r>
      <w:r>
        <w:t>Afte</w:t>
      </w:r>
      <w:r w:rsidR="009F30CC">
        <w:t>r</w:t>
      </w:r>
      <w:r>
        <w:t xml:space="preserve"> discussion with the Committee members, it has been agreed that there will not be a training session before this meeting. </w:t>
      </w:r>
      <w:r w:rsidR="006B5B52">
        <w:t>All Board members are welcome to attend the meeting.</w:t>
      </w:r>
      <w:r w:rsidR="00933709">
        <w:t xml:space="preserve"> The meeting will continue to be held </w:t>
      </w:r>
      <w:r w:rsidR="003315E4">
        <w:t xml:space="preserve">in hybrid form, with only the voting members and some officers </w:t>
      </w:r>
      <w:r w:rsidR="00D365CC">
        <w:t xml:space="preserve">required to be </w:t>
      </w:r>
      <w:r w:rsidR="00F6771C">
        <w:t xml:space="preserve">“physically present” with others joining </w:t>
      </w:r>
      <w:r w:rsidR="00933709">
        <w:t>via Microsoft Teams</w:t>
      </w:r>
      <w:r>
        <w:t>.</w:t>
      </w:r>
      <w:r w:rsidR="00933709">
        <w:t xml:space="preserve"> </w:t>
      </w:r>
    </w:p>
    <w:p w14:paraId="5F6BD5FD" w14:textId="77777777" w:rsidR="006B5B52" w:rsidRDefault="006B5B52" w:rsidP="006B5B52">
      <w:pPr>
        <w:pStyle w:val="Heading2"/>
      </w:pPr>
      <w:r>
        <w:t>Legal Implications</w:t>
      </w:r>
    </w:p>
    <w:p w14:paraId="4DA3F6E4" w14:textId="77777777" w:rsidR="006B5B52" w:rsidRDefault="006B5B52" w:rsidP="006B5B52">
      <w:pPr>
        <w:ind w:left="720"/>
        <w:jc w:val="both"/>
      </w:pPr>
    </w:p>
    <w:p w14:paraId="56739B89" w14:textId="77777777" w:rsidR="006B5B52" w:rsidRDefault="006B5B52" w:rsidP="006B5B52">
      <w:pPr>
        <w:pStyle w:val="ListParagraph"/>
      </w:pPr>
    </w:p>
    <w:p w14:paraId="1AE22C2D" w14:textId="7F1C0BB7" w:rsidR="006B5B52" w:rsidRDefault="006B5B52" w:rsidP="000E1E98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>There are no direct legal implications arising from this report.</w:t>
      </w:r>
    </w:p>
    <w:p w14:paraId="71FA671C" w14:textId="77777777" w:rsidR="005740D4" w:rsidRDefault="005740D4" w:rsidP="005740D4">
      <w:pPr>
        <w:ind w:left="720"/>
        <w:jc w:val="both"/>
        <w:rPr>
          <w:szCs w:val="24"/>
        </w:rPr>
      </w:pPr>
    </w:p>
    <w:p w14:paraId="363D85C0" w14:textId="69135E10" w:rsidR="005740D4" w:rsidRPr="00C305BC" w:rsidRDefault="005740D4" w:rsidP="005740D4">
      <w:pPr>
        <w:numPr>
          <w:ilvl w:val="0"/>
          <w:numId w:val="16"/>
        </w:numPr>
        <w:jc w:val="both"/>
        <w:rPr>
          <w:szCs w:val="24"/>
        </w:rPr>
      </w:pPr>
      <w:r w:rsidRPr="00C305BC">
        <w:rPr>
          <w:szCs w:val="24"/>
        </w:rPr>
        <w:t>The terms of reference for the Board include</w:t>
      </w:r>
      <w:r w:rsidRPr="00C305BC">
        <w:t xml:space="preserve"> </w:t>
      </w:r>
      <w:r w:rsidRPr="00C305BC">
        <w:rPr>
          <w:szCs w:val="24"/>
        </w:rPr>
        <w:t>assisting the Administering Authority (London Borough of Harrow) as Scheme Manager in ensuring the effective and efficient governance and administration of the Local Government Pension Scheme.</w:t>
      </w:r>
    </w:p>
    <w:p w14:paraId="75BF25CE" w14:textId="77777777" w:rsidR="006B5B52" w:rsidRDefault="006B5B52" w:rsidP="006B5B52">
      <w:pPr>
        <w:pStyle w:val="Heading2"/>
        <w:spacing w:after="240"/>
      </w:pPr>
      <w:r>
        <w:t>Financial Implications</w:t>
      </w:r>
    </w:p>
    <w:p w14:paraId="4C08F992" w14:textId="0F5B26BD" w:rsidR="006B5B52" w:rsidRDefault="006B5B52" w:rsidP="006B5B52">
      <w:pPr>
        <w:ind w:left="720"/>
        <w:jc w:val="both"/>
        <w:rPr>
          <w:szCs w:val="24"/>
        </w:rPr>
      </w:pPr>
    </w:p>
    <w:p w14:paraId="42CA06A9" w14:textId="2A3E5B29" w:rsidR="006B5B52" w:rsidRPr="006B5B52" w:rsidRDefault="006B5B52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 w:rsidRPr="006B5B52">
        <w:rPr>
          <w:szCs w:val="24"/>
          <w:lang w:val="en-US"/>
        </w:rPr>
        <w:t>Whilst the performance and effective controls of the fund managers is of paramount importance in the performance of the Pension Fund, there are no</w:t>
      </w:r>
      <w:r w:rsidR="00F6771C">
        <w:rPr>
          <w:szCs w:val="24"/>
          <w:lang w:val="en-US"/>
        </w:rPr>
        <w:t xml:space="preserve"> direct </w:t>
      </w:r>
      <w:r w:rsidRPr="006B5B52">
        <w:rPr>
          <w:szCs w:val="24"/>
          <w:lang w:val="en-US"/>
        </w:rPr>
        <w:t>financial implications arising from this report.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t>Risk Management Implications</w:t>
      </w:r>
    </w:p>
    <w:p w14:paraId="34DCB0E4" w14:textId="117AE982" w:rsidR="006B5B52" w:rsidRDefault="006B5B52" w:rsidP="006B5B52">
      <w:pPr>
        <w:ind w:left="720"/>
        <w:jc w:val="both"/>
        <w:rPr>
          <w:szCs w:val="24"/>
          <w:lang w:val="en-US"/>
        </w:rPr>
      </w:pPr>
    </w:p>
    <w:p w14:paraId="21DD527F" w14:textId="7658E7AB" w:rsidR="00F6771C" w:rsidRPr="003F5AF9" w:rsidRDefault="00F6771C" w:rsidP="00F6771C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690F76">
        <w:t xml:space="preserve">The Pension Fund’s Risk Register is reviewed regularly by both </w:t>
      </w:r>
      <w:r>
        <w:t xml:space="preserve">the Pension Fund </w:t>
      </w:r>
      <w:r w:rsidRPr="00690F76">
        <w:t xml:space="preserve">Committee and by the Board. </w:t>
      </w:r>
      <w:r>
        <w:t xml:space="preserve">The </w:t>
      </w:r>
      <w:r w:rsidR="0064241B">
        <w:t xml:space="preserve">next review will be considered by the Board at </w:t>
      </w:r>
      <w:r w:rsidR="00260000">
        <w:t>this meeting.</w:t>
      </w:r>
      <w:r>
        <w:t xml:space="preserve"> </w:t>
      </w:r>
    </w:p>
    <w:p w14:paraId="42B288D6" w14:textId="77777777" w:rsidR="00F6771C" w:rsidRPr="003F5AF9" w:rsidRDefault="00F6771C" w:rsidP="00F6771C">
      <w:pPr>
        <w:autoSpaceDE w:val="0"/>
        <w:autoSpaceDN w:val="0"/>
        <w:adjustRightInd w:val="0"/>
        <w:ind w:left="426"/>
        <w:rPr>
          <w:rFonts w:cs="Arial"/>
          <w:color w:val="000000"/>
          <w:szCs w:val="24"/>
          <w:lang w:eastAsia="en-GB"/>
        </w:rPr>
      </w:pPr>
    </w:p>
    <w:p w14:paraId="0E59B0B9" w14:textId="56384425" w:rsidR="00F6771C" w:rsidRPr="00C55540" w:rsidRDefault="00F6771C" w:rsidP="00F6771C">
      <w:pPr>
        <w:numPr>
          <w:ilvl w:val="0"/>
          <w:numId w:val="16"/>
        </w:numPr>
        <w:jc w:val="both"/>
      </w:pPr>
      <w:r w:rsidRPr="00690F76">
        <w:t>There are no specific risk management implications arising from this report</w:t>
      </w:r>
      <w:r>
        <w:t xml:space="preserve">. The level of risk to which its investments are exposed is a key component in </w:t>
      </w:r>
      <w:r w:rsidRPr="003F5AF9">
        <w:t>developing the Fund’s investment strategy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lastRenderedPageBreak/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010082B9" w14:textId="77777777" w:rsidR="00C55540" w:rsidRPr="00C55540" w:rsidRDefault="00C55540" w:rsidP="00C55540">
      <w:pPr>
        <w:rPr>
          <w:szCs w:val="24"/>
        </w:rPr>
      </w:pPr>
    </w:p>
    <w:p w14:paraId="6F845081" w14:textId="32E69A0F" w:rsidR="00C55540" w:rsidRPr="00C55540" w:rsidRDefault="00C55540" w:rsidP="0036007A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 xml:space="preserve">There are no direct equalities implications arising from this report. </w:t>
      </w:r>
    </w:p>
    <w:p w14:paraId="3EEDC6F2" w14:textId="77777777" w:rsidR="00C55540" w:rsidRPr="00CD57D8" w:rsidRDefault="00C55540" w:rsidP="00C55540">
      <w:pPr>
        <w:pStyle w:val="Heading2"/>
        <w:spacing w:after="240"/>
      </w:pPr>
      <w:r>
        <w:t xml:space="preserve">Council </w:t>
      </w:r>
      <w:r w:rsidRPr="00CD57D8">
        <w:t>Priorities</w:t>
      </w:r>
    </w:p>
    <w:p w14:paraId="270E4104" w14:textId="4E565CAF" w:rsid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2860E2A8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9A42BE">
        <w:rPr>
          <w:b/>
          <w:sz w:val="28"/>
        </w:rPr>
        <w:t>Dawn Calvert</w:t>
      </w:r>
    </w:p>
    <w:p w14:paraId="57640BD9" w14:textId="1B3D01B2" w:rsidR="00912904" w:rsidRPr="00A66326" w:rsidRDefault="00912904" w:rsidP="00912904">
      <w:r w:rsidRPr="00A66326">
        <w:t>Signed by the Chief Financial Officer</w:t>
      </w:r>
    </w:p>
    <w:p w14:paraId="5745A2E3" w14:textId="713607A4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</w:t>
      </w:r>
      <w:r w:rsidR="009A42BE">
        <w:rPr>
          <w:b/>
          <w:sz w:val="28"/>
        </w:rPr>
        <w:t>09/02/2022</w:t>
      </w:r>
    </w:p>
    <w:p w14:paraId="2586CC50" w14:textId="5517F1F4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4D6347">
        <w:rPr>
          <w:b/>
          <w:sz w:val="28"/>
        </w:rPr>
        <w:t>Sharon Clarke</w:t>
      </w:r>
    </w:p>
    <w:p w14:paraId="3F58D77A" w14:textId="16A5F915" w:rsidR="00912904" w:rsidRPr="00A66326" w:rsidRDefault="00912904" w:rsidP="00912904">
      <w:r w:rsidRPr="00A66326">
        <w:t>Signed on behalf of the Monitoring Officer</w:t>
      </w:r>
    </w:p>
    <w:p w14:paraId="61F8C7E6" w14:textId="1E79B572" w:rsidR="00912904" w:rsidRPr="003313EA" w:rsidRDefault="00912904" w:rsidP="005740D4">
      <w:pPr>
        <w:tabs>
          <w:tab w:val="left" w:pos="1550"/>
        </w:tabs>
        <w:spacing w:after="480"/>
        <w:rPr>
          <w:sz w:val="28"/>
        </w:rPr>
      </w:pPr>
      <w:r w:rsidRPr="00A66326">
        <w:rPr>
          <w:b/>
          <w:sz w:val="28"/>
        </w:rPr>
        <w:t>Date</w:t>
      </w:r>
      <w:r w:rsidR="004D6347">
        <w:rPr>
          <w:b/>
          <w:sz w:val="28"/>
        </w:rPr>
        <w:t>: 08/02/2022</w:t>
      </w:r>
    </w:p>
    <w:p w14:paraId="52D95F67" w14:textId="07590C87" w:rsidR="009F30CC" w:rsidRPr="009F30CC" w:rsidRDefault="004A4A1D" w:rsidP="00912904">
      <w:pPr>
        <w:rPr>
          <w:b/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9F30CC">
        <w:rPr>
          <w:b/>
          <w:sz w:val="28"/>
        </w:rPr>
        <w:t>Charlie Stewart</w:t>
      </w:r>
    </w:p>
    <w:p w14:paraId="12E4D11B" w14:textId="105C993E" w:rsidR="00912904" w:rsidRPr="00A66326" w:rsidRDefault="00365D29" w:rsidP="00912904">
      <w:r>
        <w:t>Signed</w:t>
      </w:r>
      <w:r w:rsidR="00912904" w:rsidRPr="00A66326">
        <w:t xml:space="preserve"> </w:t>
      </w:r>
      <w:r w:rsidR="00581AB1">
        <w:t>on behalf of</w:t>
      </w:r>
      <w:r w:rsidR="00912904" w:rsidRPr="00A66326">
        <w:t xml:space="preserve"> the Corporate Director</w:t>
      </w:r>
    </w:p>
    <w:p w14:paraId="21482980" w14:textId="65660A5B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9F30CC">
        <w:rPr>
          <w:b/>
          <w:sz w:val="28"/>
        </w:rPr>
        <w:t>09/02/2022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7581A8CD" w:rsidR="00912904" w:rsidRPr="003313EA" w:rsidRDefault="00912904" w:rsidP="00C55540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>Ward Councillors notified:  N</w:t>
      </w:r>
      <w:r w:rsidR="00F6771C">
        <w:rPr>
          <w:sz w:val="28"/>
        </w:rPr>
        <w:t>ot Applicable</w:t>
      </w:r>
      <w:r w:rsidRPr="003313EA">
        <w:rPr>
          <w:i/>
          <w:color w:val="FF0000"/>
          <w:szCs w:val="24"/>
        </w:rPr>
        <w:t xml:space="preserve">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73FA8D5" w14:textId="24AB96FD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CE039D">
        <w:rPr>
          <w:sz w:val="24"/>
          <w:szCs w:val="24"/>
        </w:rPr>
        <w:t>Manager</w:t>
      </w:r>
    </w:p>
    <w:p w14:paraId="1C4BF2D4" w14:textId="65CC335C" w:rsidR="002A2389" w:rsidRDefault="00C55540" w:rsidP="00C55540">
      <w:pPr>
        <w:pStyle w:val="Infotext"/>
        <w:rPr>
          <w:rStyle w:val="Hyperlink"/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8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65DB4D40" w14:textId="2D7010B6" w:rsidR="00CE039D" w:rsidRPr="00CE039D" w:rsidRDefault="00CE039D" w:rsidP="00C55540">
      <w:pPr>
        <w:pStyle w:val="Infotext"/>
      </w:pPr>
      <w:r>
        <w:rPr>
          <w:rStyle w:val="Hyperlink"/>
          <w:color w:val="auto"/>
          <w:sz w:val="24"/>
          <w:szCs w:val="24"/>
          <w:u w:val="none"/>
        </w:rPr>
        <w:t>Telephone: 020 8736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C55540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AA4"/>
    <w:multiLevelType w:val="hybridMultilevel"/>
    <w:tmpl w:val="CB728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49E31D5"/>
    <w:multiLevelType w:val="hybridMultilevel"/>
    <w:tmpl w:val="E7AAE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32052"/>
    <w:multiLevelType w:val="hybridMultilevel"/>
    <w:tmpl w:val="4C3E4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E02E1"/>
    <w:multiLevelType w:val="hybridMultilevel"/>
    <w:tmpl w:val="8AA2D900"/>
    <w:lvl w:ilvl="0" w:tplc="0944D776">
      <w:start w:val="1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0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84F"/>
    <w:multiLevelType w:val="hybridMultilevel"/>
    <w:tmpl w:val="7CE27692"/>
    <w:lvl w:ilvl="0" w:tplc="348A0724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7"/>
  </w:num>
  <w:num w:numId="11">
    <w:abstractNumId w:val="23"/>
  </w:num>
  <w:num w:numId="12">
    <w:abstractNumId w:val="15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0"/>
  </w:num>
  <w:num w:numId="18">
    <w:abstractNumId w:val="8"/>
  </w:num>
  <w:num w:numId="19">
    <w:abstractNumId w:val="10"/>
  </w:num>
  <w:num w:numId="20">
    <w:abstractNumId w:val="22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34EE1"/>
    <w:rsid w:val="00057F10"/>
    <w:rsid w:val="000633A2"/>
    <w:rsid w:val="00070F70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10A2F"/>
    <w:rsid w:val="001167DE"/>
    <w:rsid w:val="00182AA1"/>
    <w:rsid w:val="001939BA"/>
    <w:rsid w:val="001A472C"/>
    <w:rsid w:val="001A6EB0"/>
    <w:rsid w:val="001B441D"/>
    <w:rsid w:val="001C4374"/>
    <w:rsid w:val="001C5225"/>
    <w:rsid w:val="001C6F48"/>
    <w:rsid w:val="001E0219"/>
    <w:rsid w:val="001F6722"/>
    <w:rsid w:val="00213BE7"/>
    <w:rsid w:val="00231A1D"/>
    <w:rsid w:val="00244120"/>
    <w:rsid w:val="00251F95"/>
    <w:rsid w:val="00260000"/>
    <w:rsid w:val="00290AFE"/>
    <w:rsid w:val="00293F9F"/>
    <w:rsid w:val="002A2389"/>
    <w:rsid w:val="002A2C3A"/>
    <w:rsid w:val="002A5BDC"/>
    <w:rsid w:val="002C08E2"/>
    <w:rsid w:val="002C1794"/>
    <w:rsid w:val="002D2FC5"/>
    <w:rsid w:val="002E6637"/>
    <w:rsid w:val="002E77E3"/>
    <w:rsid w:val="003315E4"/>
    <w:rsid w:val="00332947"/>
    <w:rsid w:val="00333EB4"/>
    <w:rsid w:val="00345915"/>
    <w:rsid w:val="0035176F"/>
    <w:rsid w:val="00365D29"/>
    <w:rsid w:val="00374F22"/>
    <w:rsid w:val="003D2FFE"/>
    <w:rsid w:val="00400032"/>
    <w:rsid w:val="0042394B"/>
    <w:rsid w:val="00473B08"/>
    <w:rsid w:val="00474B5F"/>
    <w:rsid w:val="00481F2C"/>
    <w:rsid w:val="0049221F"/>
    <w:rsid w:val="004A3CE6"/>
    <w:rsid w:val="004A4A1D"/>
    <w:rsid w:val="004B2C9D"/>
    <w:rsid w:val="004B4A47"/>
    <w:rsid w:val="004B5D7B"/>
    <w:rsid w:val="004D6347"/>
    <w:rsid w:val="004E667D"/>
    <w:rsid w:val="004E6AF9"/>
    <w:rsid w:val="005031DF"/>
    <w:rsid w:val="00540AA5"/>
    <w:rsid w:val="00542378"/>
    <w:rsid w:val="00567D42"/>
    <w:rsid w:val="005740D4"/>
    <w:rsid w:val="00581AB1"/>
    <w:rsid w:val="0059168C"/>
    <w:rsid w:val="00597314"/>
    <w:rsid w:val="005A61AF"/>
    <w:rsid w:val="005C19FD"/>
    <w:rsid w:val="005D0886"/>
    <w:rsid w:val="005E384D"/>
    <w:rsid w:val="005F2181"/>
    <w:rsid w:val="005F724B"/>
    <w:rsid w:val="00625DFF"/>
    <w:rsid w:val="0063072B"/>
    <w:rsid w:val="0064241B"/>
    <w:rsid w:val="00662891"/>
    <w:rsid w:val="006628B7"/>
    <w:rsid w:val="00675FCB"/>
    <w:rsid w:val="006B3942"/>
    <w:rsid w:val="006B5B52"/>
    <w:rsid w:val="006C3914"/>
    <w:rsid w:val="006D3648"/>
    <w:rsid w:val="006D554B"/>
    <w:rsid w:val="006E25E2"/>
    <w:rsid w:val="0074184E"/>
    <w:rsid w:val="00743829"/>
    <w:rsid w:val="0075166A"/>
    <w:rsid w:val="00751DF2"/>
    <w:rsid w:val="00755F8D"/>
    <w:rsid w:val="00777E2D"/>
    <w:rsid w:val="00796503"/>
    <w:rsid w:val="007B524B"/>
    <w:rsid w:val="007D2BDA"/>
    <w:rsid w:val="007D56C8"/>
    <w:rsid w:val="007E3934"/>
    <w:rsid w:val="007E7303"/>
    <w:rsid w:val="008212A0"/>
    <w:rsid w:val="00837F53"/>
    <w:rsid w:val="00845600"/>
    <w:rsid w:val="008D1750"/>
    <w:rsid w:val="008D7800"/>
    <w:rsid w:val="008E2910"/>
    <w:rsid w:val="008E4913"/>
    <w:rsid w:val="008E6C0C"/>
    <w:rsid w:val="00900464"/>
    <w:rsid w:val="0090100E"/>
    <w:rsid w:val="00912904"/>
    <w:rsid w:val="00933709"/>
    <w:rsid w:val="0093767E"/>
    <w:rsid w:val="00972A02"/>
    <w:rsid w:val="009824C9"/>
    <w:rsid w:val="0099517C"/>
    <w:rsid w:val="009A0937"/>
    <w:rsid w:val="009A42BE"/>
    <w:rsid w:val="009B2ECD"/>
    <w:rsid w:val="009B7914"/>
    <w:rsid w:val="009E62A1"/>
    <w:rsid w:val="009F30CC"/>
    <w:rsid w:val="009F430B"/>
    <w:rsid w:val="00A160B2"/>
    <w:rsid w:val="00A34E82"/>
    <w:rsid w:val="00A360D6"/>
    <w:rsid w:val="00A42A08"/>
    <w:rsid w:val="00A5339D"/>
    <w:rsid w:val="00A566E7"/>
    <w:rsid w:val="00A644A0"/>
    <w:rsid w:val="00A940D3"/>
    <w:rsid w:val="00A96FCA"/>
    <w:rsid w:val="00AA4BE8"/>
    <w:rsid w:val="00AC0AAB"/>
    <w:rsid w:val="00AC7BA9"/>
    <w:rsid w:val="00AE19AC"/>
    <w:rsid w:val="00AF5A3E"/>
    <w:rsid w:val="00B0425E"/>
    <w:rsid w:val="00B67880"/>
    <w:rsid w:val="00B900E2"/>
    <w:rsid w:val="00B9118E"/>
    <w:rsid w:val="00BA423E"/>
    <w:rsid w:val="00BD02E1"/>
    <w:rsid w:val="00BD6115"/>
    <w:rsid w:val="00BD684A"/>
    <w:rsid w:val="00BF6C03"/>
    <w:rsid w:val="00C32DAE"/>
    <w:rsid w:val="00C34564"/>
    <w:rsid w:val="00C40E24"/>
    <w:rsid w:val="00C55540"/>
    <w:rsid w:val="00C61B80"/>
    <w:rsid w:val="00C92D9A"/>
    <w:rsid w:val="00C96EF5"/>
    <w:rsid w:val="00CB4353"/>
    <w:rsid w:val="00CE039D"/>
    <w:rsid w:val="00CE4DD2"/>
    <w:rsid w:val="00D25064"/>
    <w:rsid w:val="00D32B51"/>
    <w:rsid w:val="00D34668"/>
    <w:rsid w:val="00D365CC"/>
    <w:rsid w:val="00D3740E"/>
    <w:rsid w:val="00D40335"/>
    <w:rsid w:val="00D40976"/>
    <w:rsid w:val="00D82F57"/>
    <w:rsid w:val="00D841A5"/>
    <w:rsid w:val="00D914D2"/>
    <w:rsid w:val="00DA25DB"/>
    <w:rsid w:val="00DB0791"/>
    <w:rsid w:val="00DC2881"/>
    <w:rsid w:val="00DD4251"/>
    <w:rsid w:val="00E02B50"/>
    <w:rsid w:val="00E03F11"/>
    <w:rsid w:val="00E06DC8"/>
    <w:rsid w:val="00E220B5"/>
    <w:rsid w:val="00E33D93"/>
    <w:rsid w:val="00E55F2E"/>
    <w:rsid w:val="00E609EF"/>
    <w:rsid w:val="00E8515B"/>
    <w:rsid w:val="00E90AFF"/>
    <w:rsid w:val="00EF2F91"/>
    <w:rsid w:val="00F1403C"/>
    <w:rsid w:val="00F33EE3"/>
    <w:rsid w:val="00F37799"/>
    <w:rsid w:val="00F4213B"/>
    <w:rsid w:val="00F45A59"/>
    <w:rsid w:val="00F6771C"/>
    <w:rsid w:val="00F77A86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table" w:styleId="TableGrid">
    <w:name w:val="Table Grid"/>
    <w:basedOn w:val="TableNormal"/>
    <w:rsid w:val="0075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randall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5593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Kemp</cp:lastModifiedBy>
  <cp:revision>5</cp:revision>
  <cp:lastPrinted>2007-07-12T09:53:00Z</cp:lastPrinted>
  <dcterms:created xsi:type="dcterms:W3CDTF">2022-02-23T12:45:00Z</dcterms:created>
  <dcterms:modified xsi:type="dcterms:W3CDTF">2022-02-23T15:04:00Z</dcterms:modified>
</cp:coreProperties>
</file>